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3DA" w:rsidRPr="002D1E72" w:rsidRDefault="00677F4F" w:rsidP="002D1E72">
      <w:pPr>
        <w:spacing w:after="0" w:line="360" w:lineRule="auto"/>
        <w:rPr>
          <w:b/>
        </w:rPr>
      </w:pPr>
      <w:bookmarkStart w:id="0" w:name="_GoBack"/>
      <w:bookmarkEnd w:id="0"/>
      <w:r w:rsidRPr="002D1E72">
        <w:rPr>
          <w:b/>
        </w:rPr>
        <w:t>Titel de</w:t>
      </w:r>
      <w:r w:rsidR="002D1E72">
        <w:rPr>
          <w:b/>
        </w:rPr>
        <w:t>s Vortrags</w:t>
      </w:r>
      <w:r w:rsidR="002D1E72" w:rsidRPr="002D1E72">
        <w:rPr>
          <w:b/>
        </w:rPr>
        <w:t xml:space="preserve">: </w:t>
      </w:r>
      <w:r w:rsidR="002D1E72">
        <w:t>Theodor Fontanes Notizbücher. Konzept und Visualisierung der digitalen gen</w:t>
      </w:r>
      <w:r w:rsidR="002D1E72">
        <w:t>e</w:t>
      </w:r>
      <w:r w:rsidR="002D1E72">
        <w:t>tisch-kritischen und kommentierten Edition </w:t>
      </w:r>
    </w:p>
    <w:p w:rsidR="00677F4F" w:rsidRPr="002D1E72" w:rsidRDefault="00677F4F" w:rsidP="002D1E72">
      <w:pPr>
        <w:spacing w:after="0" w:line="360" w:lineRule="auto"/>
      </w:pPr>
      <w:r w:rsidRPr="002D1E72">
        <w:rPr>
          <w:b/>
        </w:rPr>
        <w:t xml:space="preserve">Name </w:t>
      </w:r>
      <w:r w:rsidR="00D10925">
        <w:rPr>
          <w:b/>
        </w:rPr>
        <w:t>d</w:t>
      </w:r>
      <w:r w:rsidRPr="002D1E72">
        <w:rPr>
          <w:b/>
        </w:rPr>
        <w:t>er Vortragenden</w:t>
      </w:r>
      <w:r w:rsidR="00F91D71" w:rsidRPr="002D1E72">
        <w:rPr>
          <w:b/>
        </w:rPr>
        <w:t xml:space="preserve"> und Kontaktdaten</w:t>
      </w:r>
      <w:r w:rsidR="002D1E72" w:rsidRPr="002D1E72">
        <w:rPr>
          <w:b/>
        </w:rPr>
        <w:t>:</w:t>
      </w:r>
      <w:r w:rsidR="002D1E72" w:rsidRPr="002D1E72">
        <w:t xml:space="preserve"> Dr. Gabriele Radecke (</w:t>
      </w:r>
      <w:hyperlink r:id="rId6" w:history="1">
        <w:r w:rsidR="002D1E72" w:rsidRPr="002D1E72">
          <w:rPr>
            <w:rStyle w:val="Hyperlink"/>
            <w:color w:val="auto"/>
            <w:u w:val="none"/>
          </w:rPr>
          <w:t>Gabriele.Radecke@phil.uni-goettingen.de</w:t>
        </w:r>
      </w:hyperlink>
      <w:r w:rsidR="002D1E72" w:rsidRPr="002D1E72">
        <w:t xml:space="preserve">) </w:t>
      </w:r>
      <w:r w:rsidR="00D10925">
        <w:t xml:space="preserve">und </w:t>
      </w:r>
      <w:r w:rsidR="002D1E72" w:rsidRPr="002D1E72">
        <w:t>Mathias Göbel (goebel@sub.uni-goettingen.de)</w:t>
      </w:r>
    </w:p>
    <w:p w:rsidR="00D704C2" w:rsidRPr="002D1E72" w:rsidRDefault="00D704C2" w:rsidP="002D1E72">
      <w:pPr>
        <w:spacing w:after="0" w:line="360" w:lineRule="auto"/>
        <w:rPr>
          <w:b/>
        </w:rPr>
      </w:pPr>
      <w:r w:rsidRPr="002D1E72">
        <w:rPr>
          <w:b/>
        </w:rPr>
        <w:t>Beschreibung de</w:t>
      </w:r>
      <w:r w:rsidR="00073E72">
        <w:rPr>
          <w:b/>
        </w:rPr>
        <w:t>s</w:t>
      </w:r>
      <w:r w:rsidRPr="002D1E72">
        <w:rPr>
          <w:b/>
        </w:rPr>
        <w:t xml:space="preserve"> Pr</w:t>
      </w:r>
      <w:r w:rsidR="00073E72">
        <w:rPr>
          <w:b/>
        </w:rPr>
        <w:t>ojekts</w:t>
      </w:r>
      <w:r w:rsidR="00D10925">
        <w:rPr>
          <w:b/>
        </w:rPr>
        <w:t>:</w:t>
      </w:r>
    </w:p>
    <w:p w:rsidR="002D1E72" w:rsidRPr="002D1E72" w:rsidRDefault="002D1E72" w:rsidP="002D1E72">
      <w:pPr>
        <w:spacing w:after="0" w:line="360" w:lineRule="auto"/>
        <w:jc w:val="both"/>
        <w:rPr>
          <w:rFonts w:eastAsia="Times New Roman" w:cs="Arial"/>
          <w:lang w:eastAsia="de-DE"/>
        </w:rPr>
      </w:pPr>
      <w:r w:rsidRPr="002D1E72">
        <w:rPr>
          <w:rFonts w:eastAsia="Times New Roman" w:cs="Arial"/>
          <w:lang w:eastAsia="de-DE"/>
        </w:rPr>
        <w:t>Theodor Fontanes 67 Notizbücher sind das letzte noch unveröffentlichte größere Textkorpus des Autors, und es gibt bislang wenige, den textkritischen Standards nicht genügende Teilpublikationen. Von 1859 bis Ende der 1880er Jahre hat Fontane Notizbücher geführt, die unterschiedliche Notate enthalten: Tagebuchaufzeichnungen, Briefkonzepte, poetische Pläne, Vortragsmitschriften, Entwürfe zu Theater- und Kunstkritiken, Buchexzerpte sowie Notizen und Zeichnungen, die während der Au</w:t>
      </w:r>
      <w:r w:rsidRPr="002D1E72">
        <w:rPr>
          <w:rFonts w:eastAsia="Times New Roman" w:cs="Arial"/>
          <w:lang w:eastAsia="de-DE"/>
        </w:rPr>
        <w:t>s</w:t>
      </w:r>
      <w:r w:rsidRPr="002D1E72">
        <w:rPr>
          <w:rFonts w:eastAsia="Times New Roman" w:cs="Arial"/>
          <w:lang w:eastAsia="de-DE"/>
        </w:rPr>
        <w:t>flüge durch die Mark Brandenburg und auf weiteren Reisen entstanden sind. Hinzu kommen To-do-Listen und Zugabfahrtspläne, Lektüre- und Briefempfängerlisten. Die editorische Vernachlässigung hat zur Folge, dass eine Rezeption der Notizbücher ausgeblieben ist und die Aufzeichnungen für die Ent</w:t>
      </w:r>
      <w:r w:rsidRPr="002D1E72">
        <w:rPr>
          <w:rFonts w:eastAsia="Times New Roman" w:cs="Arial"/>
          <w:lang w:eastAsia="de-DE"/>
        </w:rPr>
        <w:softHyphen/>
        <w:t>stehungsgeschichte und Textgenese der Werke Fontanes nur gelegentlich ausgewertet wurden. Die genetisch-kritische Hybrid-Edition wird erstmals alle Notizbuchniederschriften ermitteln, tra</w:t>
      </w:r>
      <w:r w:rsidRPr="002D1E72">
        <w:rPr>
          <w:rFonts w:eastAsia="Times New Roman" w:cs="Arial"/>
          <w:lang w:eastAsia="de-DE"/>
        </w:rPr>
        <w:t>n</w:t>
      </w:r>
      <w:r w:rsidRPr="002D1E72">
        <w:rPr>
          <w:rFonts w:eastAsia="Times New Roman" w:cs="Arial"/>
          <w:lang w:eastAsia="de-DE"/>
        </w:rPr>
        <w:t xml:space="preserve">skribieren, codieren, </w:t>
      </w:r>
      <w:r w:rsidR="00D10925">
        <w:rPr>
          <w:rFonts w:eastAsia="Times New Roman" w:cs="Arial"/>
          <w:lang w:eastAsia="de-DE"/>
        </w:rPr>
        <w:t xml:space="preserve">visualisieren, </w:t>
      </w:r>
      <w:r w:rsidRPr="002D1E72">
        <w:rPr>
          <w:rFonts w:eastAsia="Times New Roman" w:cs="Arial"/>
          <w:lang w:eastAsia="de-DE"/>
        </w:rPr>
        <w:t>kommentieren und veröffentlichen. Im Unterschied zu den bish</w:t>
      </w:r>
      <w:r w:rsidRPr="002D1E72">
        <w:rPr>
          <w:rFonts w:eastAsia="Times New Roman" w:cs="Arial"/>
          <w:lang w:eastAsia="de-DE"/>
        </w:rPr>
        <w:t>e</w:t>
      </w:r>
      <w:r w:rsidRPr="002D1E72">
        <w:rPr>
          <w:rFonts w:eastAsia="Times New Roman" w:cs="Arial"/>
          <w:lang w:eastAsia="de-DE"/>
        </w:rPr>
        <w:t xml:space="preserve">rigen, an inhaltlichen Kriterien orientierten Einzelpublikationen stellt das </w:t>
      </w:r>
      <w:r w:rsidR="00F719C6" w:rsidRPr="002D1E72">
        <w:rPr>
          <w:rFonts w:eastAsia="Times New Roman" w:cs="Arial"/>
          <w:lang w:eastAsia="de-DE"/>
        </w:rPr>
        <w:t>Editionskonzept</w:t>
      </w:r>
      <w:r w:rsidRPr="002D1E72">
        <w:rPr>
          <w:rFonts w:eastAsia="Times New Roman" w:cs="Arial"/>
          <w:lang w:eastAsia="de-DE"/>
        </w:rPr>
        <w:t xml:space="preserve"> die ko</w:t>
      </w:r>
      <w:r w:rsidRPr="002D1E72">
        <w:rPr>
          <w:rFonts w:eastAsia="Times New Roman" w:cs="Arial"/>
          <w:lang w:eastAsia="de-DE"/>
        </w:rPr>
        <w:t>m</w:t>
      </w:r>
      <w:r w:rsidRPr="002D1E72">
        <w:rPr>
          <w:rFonts w:eastAsia="Times New Roman" w:cs="Arial"/>
          <w:lang w:eastAsia="de-DE"/>
        </w:rPr>
        <w:t>plexe Überlieferung mit ihren materialen und medialen Kennzeichen in den Mittelpunkt.</w:t>
      </w:r>
    </w:p>
    <w:p w:rsidR="002D1E72" w:rsidRPr="002D1E72" w:rsidRDefault="002D1E72" w:rsidP="002D1E72">
      <w:pPr>
        <w:spacing w:after="0" w:line="360" w:lineRule="auto"/>
        <w:jc w:val="both"/>
        <w:rPr>
          <w:rFonts w:eastAsia="Times New Roman" w:cs="Arial"/>
          <w:lang w:eastAsia="de-DE"/>
        </w:rPr>
      </w:pPr>
      <w:r w:rsidRPr="002D1E72">
        <w:rPr>
          <w:rFonts w:eastAsia="Times New Roman" w:cs="Arial"/>
          <w:lang w:eastAsia="de-DE"/>
        </w:rPr>
        <w:t>Die Ausgabe besteht aus zwei komplementären Teilen, die in abgestufter Weise die Materialität vis</w:t>
      </w:r>
      <w:r w:rsidRPr="002D1E72">
        <w:rPr>
          <w:rFonts w:eastAsia="Times New Roman" w:cs="Arial"/>
          <w:lang w:eastAsia="de-DE"/>
        </w:rPr>
        <w:t>u</w:t>
      </w:r>
      <w:r w:rsidRPr="002D1E72">
        <w:rPr>
          <w:rFonts w:eastAsia="Times New Roman" w:cs="Arial"/>
          <w:lang w:eastAsia="de-DE"/>
        </w:rPr>
        <w:t>alisieren und dokumentenorientierte, chronologische und teleologische Zugriffe ermöglichen sowie einen linearen les- und zitierbaren Text und Kommentar herstellen: Die digitale Edition im Fontane-Notizbuch-Portal wird alle Notizbuchaufzeichnungen in synoptischer Darstellung von Digitalisat und diplomatischer Transkription sowie einen historisch-kritisch edierten Text mit textkritischem Apparat und Kommentaren unter Open-Access-Lizenz veröffentlichen. Unter Rückgriff auf Linked Open Data entstehen Visualisierungen, die einen Zugriff auf die Notizbücher durch Aggregationen und Ver</w:t>
      </w:r>
      <w:r w:rsidRPr="002D1E72">
        <w:rPr>
          <w:rFonts w:eastAsia="Times New Roman" w:cs="Arial"/>
          <w:lang w:eastAsia="de-DE"/>
        </w:rPr>
        <w:softHyphen/>
        <w:t>knüpfungen, auch auf Grundlage der semantischen Auszeichnung, ermöglichen.</w:t>
      </w:r>
    </w:p>
    <w:p w:rsidR="002D1E72" w:rsidRPr="002D1E72" w:rsidRDefault="002D1E72" w:rsidP="002D1E72">
      <w:pPr>
        <w:spacing w:after="0" w:line="360" w:lineRule="auto"/>
        <w:jc w:val="both"/>
        <w:rPr>
          <w:rFonts w:eastAsia="Times New Roman" w:cs="Arial"/>
          <w:lang w:eastAsia="de-DE"/>
        </w:rPr>
      </w:pPr>
      <w:r w:rsidRPr="002D1E72">
        <w:rPr>
          <w:rFonts w:eastAsia="Times New Roman" w:cs="Arial"/>
          <w:lang w:eastAsia="de-DE"/>
        </w:rPr>
        <w:t>Die Buch-Edition wird die historisch-kritische Textfassung mit Apparat und Kommentaren umfassen. Die genetisch-kritische Hybrid-Edition wird neue Impulse für die werkgenetische, literatur- und ku</w:t>
      </w:r>
      <w:r w:rsidRPr="002D1E72">
        <w:rPr>
          <w:rFonts w:eastAsia="Times New Roman" w:cs="Arial"/>
          <w:lang w:eastAsia="de-DE"/>
        </w:rPr>
        <w:t>l</w:t>
      </w:r>
      <w:r w:rsidRPr="002D1E72">
        <w:rPr>
          <w:rFonts w:eastAsia="Times New Roman" w:cs="Arial"/>
          <w:lang w:eastAsia="de-DE"/>
        </w:rPr>
        <w:t>turwissenschaftliche sowie mentalitätsgeschichtliche Forschung geben; sie wird auch ein Modell für weitere Notizbuch-Editionen mit ähnlich schwierigem Über</w:t>
      </w:r>
      <w:r w:rsidRPr="002D1E72">
        <w:rPr>
          <w:rFonts w:eastAsia="Times New Roman" w:cs="Arial"/>
          <w:lang w:eastAsia="de-DE"/>
        </w:rPr>
        <w:softHyphen/>
        <w:t xml:space="preserve">lieferungskontext zur Verfügung stellen. </w:t>
      </w:r>
    </w:p>
    <w:p w:rsidR="002D1E72" w:rsidRPr="002D1E72" w:rsidRDefault="002D1E72" w:rsidP="002D1E72">
      <w:pPr>
        <w:spacing w:after="0" w:line="360" w:lineRule="auto"/>
        <w:jc w:val="both"/>
        <w:rPr>
          <w:rFonts w:eastAsia="Times New Roman" w:cs="Arial"/>
          <w:lang w:eastAsia="de-DE"/>
        </w:rPr>
      </w:pPr>
      <w:r w:rsidRPr="002D1E72">
        <w:rPr>
          <w:rFonts w:eastAsia="Times New Roman" w:cs="Arial"/>
          <w:lang w:eastAsia="de-DE"/>
        </w:rPr>
        <w:t>Die philologische Editionsarbeit wird durch digitale Methoden und den Einsatz der Virtuellen Fo</w:t>
      </w:r>
      <w:r w:rsidRPr="002D1E72">
        <w:rPr>
          <w:rFonts w:eastAsia="Times New Roman" w:cs="Arial"/>
          <w:lang w:eastAsia="de-DE"/>
        </w:rPr>
        <w:t>r</w:t>
      </w:r>
      <w:r w:rsidRPr="002D1E72">
        <w:rPr>
          <w:rFonts w:eastAsia="Times New Roman" w:cs="Arial"/>
          <w:lang w:eastAsia="de-DE"/>
        </w:rPr>
        <w:t>schungsumgebung TextGrid maßgeblich unterstützt. Für die komplexen Anforderungen der Noti</w:t>
      </w:r>
      <w:r w:rsidRPr="002D1E72">
        <w:rPr>
          <w:rFonts w:eastAsia="Times New Roman" w:cs="Arial"/>
          <w:lang w:eastAsia="de-DE"/>
        </w:rPr>
        <w:t>z</w:t>
      </w:r>
      <w:r w:rsidRPr="002D1E72">
        <w:rPr>
          <w:rFonts w:eastAsia="Times New Roman" w:cs="Arial"/>
          <w:lang w:eastAsia="de-DE"/>
        </w:rPr>
        <w:t xml:space="preserve">buch-Edition werden die Dienste und Werkzeuge der Virtuellen </w:t>
      </w:r>
      <w:r w:rsidR="00F719C6" w:rsidRPr="002D1E72">
        <w:rPr>
          <w:rFonts w:eastAsia="Times New Roman" w:cs="Arial"/>
          <w:lang w:eastAsia="de-DE"/>
        </w:rPr>
        <w:t>Forschungsumgebung</w:t>
      </w:r>
      <w:r w:rsidRPr="002D1E72">
        <w:rPr>
          <w:rFonts w:eastAsia="Times New Roman" w:cs="Arial"/>
          <w:lang w:eastAsia="de-DE"/>
        </w:rPr>
        <w:t xml:space="preserve"> genutzt, ang</w:t>
      </w:r>
      <w:r w:rsidRPr="002D1E72">
        <w:rPr>
          <w:rFonts w:eastAsia="Times New Roman" w:cs="Arial"/>
          <w:lang w:eastAsia="de-DE"/>
        </w:rPr>
        <w:t>e</w:t>
      </w:r>
      <w:r w:rsidRPr="002D1E72">
        <w:rPr>
          <w:rFonts w:eastAsia="Times New Roman" w:cs="Arial"/>
          <w:lang w:eastAsia="de-DE"/>
        </w:rPr>
        <w:t>passt und zum Teil weiterentwickelt.</w:t>
      </w:r>
    </w:p>
    <w:p w:rsidR="002D1E72" w:rsidRPr="002D1E72" w:rsidRDefault="002D1E72" w:rsidP="002D1E72">
      <w:pPr>
        <w:spacing w:after="0" w:line="360" w:lineRule="auto"/>
        <w:jc w:val="both"/>
        <w:rPr>
          <w:rFonts w:eastAsia="Times New Roman" w:cs="Arial"/>
          <w:lang w:eastAsia="de-DE"/>
        </w:rPr>
      </w:pPr>
      <w:r w:rsidRPr="002D1E72">
        <w:rPr>
          <w:rFonts w:eastAsia="Times New Roman" w:cs="Arial"/>
          <w:lang w:eastAsia="de-DE"/>
        </w:rPr>
        <w:lastRenderedPageBreak/>
        <w:t>Die Edition entsteht an der Theodor Fontane-Arbeitsstelle der Universität Göttingen in Kooperation mit der SUB Göttingen.</w:t>
      </w:r>
    </w:p>
    <w:p w:rsidR="00D10925" w:rsidRDefault="00D10925" w:rsidP="002D1E72">
      <w:pPr>
        <w:spacing w:after="0" w:line="360" w:lineRule="auto"/>
        <w:rPr>
          <w:b/>
        </w:rPr>
      </w:pPr>
    </w:p>
    <w:p w:rsidR="00F91D71" w:rsidRPr="002D1E72" w:rsidRDefault="00F91D71" w:rsidP="002D1E72">
      <w:pPr>
        <w:spacing w:after="0" w:line="360" w:lineRule="auto"/>
        <w:rPr>
          <w:b/>
        </w:rPr>
      </w:pPr>
      <w:r w:rsidRPr="002D1E72">
        <w:rPr>
          <w:b/>
        </w:rPr>
        <w:t>Eckdaten zum Projekt insgesamt:</w:t>
      </w:r>
    </w:p>
    <w:p w:rsidR="002D1E72" w:rsidRPr="002D1E72" w:rsidRDefault="00D704C2" w:rsidP="002D1E72">
      <w:pPr>
        <w:spacing w:after="0" w:line="360" w:lineRule="auto"/>
        <w:jc w:val="both"/>
        <w:rPr>
          <w:rFonts w:eastAsia="Times New Roman" w:cs="Arial"/>
          <w:lang w:eastAsia="de-DE"/>
        </w:rPr>
      </w:pPr>
      <w:r w:rsidRPr="002D1E72">
        <w:rPr>
          <w:b/>
        </w:rPr>
        <w:t>Titel der Edition und Webseite</w:t>
      </w:r>
      <w:r w:rsidR="002D1E72" w:rsidRPr="002D1E72">
        <w:rPr>
          <w:b/>
        </w:rPr>
        <w:t>:</w:t>
      </w:r>
      <w:r w:rsidR="002D1E72" w:rsidRPr="002D1E72">
        <w:t xml:space="preserve"> Theodor Fontane: Notizbücher. Genetisch-kritische und komme</w:t>
      </w:r>
      <w:r w:rsidR="002D1E72" w:rsidRPr="002D1E72">
        <w:t>n</w:t>
      </w:r>
      <w:r w:rsidR="002D1E72" w:rsidRPr="002D1E72">
        <w:t xml:space="preserve">tierte Edition. Hrsg. von Gabriele Radecke / </w:t>
      </w:r>
      <w:r w:rsidR="002D1E72" w:rsidRPr="002D1E72">
        <w:rPr>
          <w:rFonts w:eastAsia="Times New Roman" w:cs="Arial"/>
          <w:b/>
          <w:lang w:eastAsia="de-DE"/>
        </w:rPr>
        <w:t>Projektseite:</w:t>
      </w:r>
      <w:r w:rsidR="002D1E72" w:rsidRPr="002D1E72">
        <w:rPr>
          <w:rFonts w:eastAsia="Times New Roman" w:cs="Arial"/>
          <w:lang w:eastAsia="de-DE"/>
        </w:rPr>
        <w:t xml:space="preserve"> </w:t>
      </w:r>
      <w:hyperlink r:id="rId7">
        <w:r w:rsidR="002D1E72" w:rsidRPr="002D1E72">
          <w:rPr>
            <w:rStyle w:val="BesuchterInternetlink"/>
            <w:rFonts w:eastAsia="Times New Roman" w:cs="Arial"/>
            <w:color w:val="auto"/>
            <w:u w:val="none"/>
            <w:lang w:eastAsia="de-DE"/>
          </w:rPr>
          <w:t>www.fontane-notizbuecher.de</w:t>
        </w:r>
      </w:hyperlink>
      <w:r w:rsidR="002D1E72" w:rsidRPr="002D1E72">
        <w:rPr>
          <w:rFonts w:eastAsia="Times New Roman" w:cs="Arial"/>
          <w:lang w:eastAsia="de-DE"/>
        </w:rPr>
        <w:t xml:space="preserve"> bzw. </w:t>
      </w:r>
      <w:hyperlink r:id="rId8" w:history="1">
        <w:r w:rsidR="002D1E72" w:rsidRPr="002D1E72">
          <w:rPr>
            <w:rStyle w:val="Hyperlink"/>
            <w:rFonts w:eastAsia="Times New Roman" w:cs="Arial"/>
            <w:u w:val="none"/>
            <w:lang w:eastAsia="de-DE"/>
          </w:rPr>
          <w:t>http://www.uni-goettingen.de/de/303691.html</w:t>
        </w:r>
      </w:hyperlink>
    </w:p>
    <w:p w:rsidR="00D704C2" w:rsidRPr="002D1E72" w:rsidRDefault="002D1E72" w:rsidP="002D1E72">
      <w:pPr>
        <w:spacing w:after="0" w:line="360" w:lineRule="auto"/>
        <w:jc w:val="both"/>
      </w:pPr>
      <w:r w:rsidRPr="002D1E72">
        <w:rPr>
          <w:b/>
        </w:rPr>
        <w:t>L</w:t>
      </w:r>
      <w:r w:rsidR="00D704C2" w:rsidRPr="002D1E72">
        <w:rPr>
          <w:b/>
        </w:rPr>
        <w:t>aufzeit</w:t>
      </w:r>
      <w:r w:rsidRPr="002D1E72">
        <w:rPr>
          <w:b/>
        </w:rPr>
        <w:t>:</w:t>
      </w:r>
      <w:r w:rsidRPr="002D1E72">
        <w:t xml:space="preserve"> 2011 bis 2017 (gefördert von der DFG)</w:t>
      </w:r>
    </w:p>
    <w:p w:rsidR="002D1E72" w:rsidRPr="002D1E72" w:rsidRDefault="00D704C2" w:rsidP="002D1E72">
      <w:pPr>
        <w:pStyle w:val="HTMLVorformatiert"/>
        <w:spacing w:line="360" w:lineRule="auto"/>
        <w:rPr>
          <w:rFonts w:asciiTheme="minorHAnsi" w:hAnsiTheme="minorHAnsi"/>
          <w:sz w:val="22"/>
          <w:szCs w:val="22"/>
          <w:shd w:val="clear" w:color="auto" w:fill="FFFFFF"/>
        </w:rPr>
      </w:pPr>
      <w:r w:rsidRPr="002D1E72">
        <w:rPr>
          <w:rFonts w:asciiTheme="minorHAnsi" w:hAnsiTheme="minorHAnsi"/>
          <w:b/>
          <w:sz w:val="22"/>
          <w:szCs w:val="22"/>
        </w:rPr>
        <w:t>Verwendete Tools</w:t>
      </w:r>
      <w:r w:rsidR="002D1E72" w:rsidRPr="002D1E72">
        <w:rPr>
          <w:rFonts w:asciiTheme="minorHAnsi" w:hAnsiTheme="minorHAnsi"/>
          <w:b/>
          <w:sz w:val="22"/>
          <w:szCs w:val="22"/>
        </w:rPr>
        <w:t>:</w:t>
      </w:r>
      <w:r w:rsidR="002D1E72" w:rsidRPr="002D1E72">
        <w:rPr>
          <w:rFonts w:asciiTheme="minorHAnsi" w:hAnsiTheme="minorHAnsi"/>
          <w:sz w:val="22"/>
          <w:szCs w:val="22"/>
        </w:rPr>
        <w:t xml:space="preserve"> TextGrid, </w:t>
      </w:r>
      <w:r w:rsidR="002D1E72" w:rsidRPr="002D1E72">
        <w:rPr>
          <w:rFonts w:asciiTheme="minorHAnsi" w:hAnsiTheme="minorHAnsi" w:cs="Tahoma"/>
          <w:sz w:val="22"/>
          <w:szCs w:val="22"/>
          <w:shd w:val="clear" w:color="auto" w:fill="FFFFFF"/>
        </w:rPr>
        <w:t>eXist, TEI (Roma, Oxgarage), D3.js, DARIAH-DE-Geo-Browser, JQuery</w:t>
      </w:r>
    </w:p>
    <w:p w:rsidR="002D1E72" w:rsidRPr="002D1E72" w:rsidRDefault="00D704C2" w:rsidP="002D1E72">
      <w:pPr>
        <w:spacing w:after="0" w:line="360" w:lineRule="auto"/>
        <w:jc w:val="both"/>
        <w:rPr>
          <w:rFonts w:eastAsia="Times New Roman" w:cs="Arial"/>
          <w:b/>
          <w:lang w:eastAsia="de-DE"/>
        </w:rPr>
      </w:pPr>
      <w:r w:rsidRPr="002D1E72">
        <w:rPr>
          <w:b/>
        </w:rPr>
        <w:t>Kontaktdaten</w:t>
      </w:r>
      <w:r w:rsidR="002D1E72" w:rsidRPr="002D1E72">
        <w:rPr>
          <w:b/>
        </w:rPr>
        <w:t xml:space="preserve">: </w:t>
      </w:r>
    </w:p>
    <w:p w:rsidR="00D10925" w:rsidRDefault="002D1E72" w:rsidP="002D1E72">
      <w:pPr>
        <w:pStyle w:val="Default"/>
        <w:spacing w:line="360" w:lineRule="auto"/>
        <w:jc w:val="both"/>
        <w:rPr>
          <w:rFonts w:asciiTheme="minorHAnsi" w:hAnsiTheme="minorHAnsi" w:cs="Arial"/>
          <w:color w:val="auto"/>
          <w:sz w:val="22"/>
          <w:szCs w:val="22"/>
        </w:rPr>
      </w:pPr>
      <w:r w:rsidRPr="002D1E72">
        <w:rPr>
          <w:rFonts w:asciiTheme="minorHAnsi" w:hAnsiTheme="minorHAnsi" w:cs="Arial"/>
          <w:color w:val="auto"/>
          <w:sz w:val="22"/>
          <w:szCs w:val="22"/>
        </w:rPr>
        <w:t>Gesamtleitung, Idee, Konzeption und Herausgeberin: Dr. Gabriele Radecke,</w:t>
      </w:r>
    </w:p>
    <w:p w:rsidR="002D1E72" w:rsidRPr="002D1E72" w:rsidRDefault="002D1E72" w:rsidP="002D1E72">
      <w:pPr>
        <w:pStyle w:val="Default"/>
        <w:spacing w:line="360" w:lineRule="auto"/>
        <w:jc w:val="both"/>
        <w:rPr>
          <w:rFonts w:asciiTheme="minorHAnsi" w:hAnsiTheme="minorHAnsi" w:cs="Arial"/>
          <w:color w:val="auto"/>
          <w:sz w:val="22"/>
          <w:szCs w:val="22"/>
        </w:rPr>
      </w:pPr>
      <w:r w:rsidRPr="002D1E72">
        <w:rPr>
          <w:rFonts w:asciiTheme="minorHAnsi" w:hAnsiTheme="minorHAnsi" w:cs="Arial"/>
          <w:color w:val="auto"/>
          <w:sz w:val="22"/>
          <w:szCs w:val="22"/>
        </w:rPr>
        <w:t>Gabriele.Radecke@phil.uni</w:t>
      </w:r>
      <w:r w:rsidRPr="002D1E72">
        <w:rPr>
          <w:rFonts w:asciiTheme="minorHAnsi" w:hAnsiTheme="minorHAnsi" w:cs="Cambria Math"/>
          <w:color w:val="auto"/>
          <w:sz w:val="22"/>
          <w:szCs w:val="22"/>
        </w:rPr>
        <w:t>‐</w:t>
      </w:r>
      <w:r w:rsidRPr="002D1E72">
        <w:rPr>
          <w:rFonts w:asciiTheme="minorHAnsi" w:hAnsiTheme="minorHAnsi" w:cs="Arial"/>
          <w:color w:val="auto"/>
          <w:sz w:val="22"/>
          <w:szCs w:val="22"/>
        </w:rPr>
        <w:t xml:space="preserve">goettingen.de </w:t>
      </w:r>
    </w:p>
    <w:p w:rsidR="002D1E72" w:rsidRPr="002D1E72" w:rsidRDefault="002D1E72" w:rsidP="002D1E72">
      <w:pPr>
        <w:pStyle w:val="Default"/>
        <w:spacing w:line="360" w:lineRule="auto"/>
        <w:jc w:val="both"/>
        <w:rPr>
          <w:rFonts w:asciiTheme="minorHAnsi" w:hAnsiTheme="minorHAnsi" w:cs="Arial"/>
          <w:color w:val="auto"/>
          <w:sz w:val="22"/>
          <w:szCs w:val="22"/>
        </w:rPr>
      </w:pPr>
      <w:r w:rsidRPr="002D1E72">
        <w:rPr>
          <w:rFonts w:asciiTheme="minorHAnsi" w:hAnsiTheme="minorHAnsi" w:cs="Arial"/>
          <w:color w:val="auto"/>
          <w:sz w:val="22"/>
          <w:szCs w:val="22"/>
        </w:rPr>
        <w:t xml:space="preserve">Informationswissenschaftliche und -technologische Leitung: Dr. Heike Neuroth, neuroth@sub.uni-goettingen.de </w:t>
      </w:r>
    </w:p>
    <w:p w:rsidR="002D1E72" w:rsidRPr="002D1E72" w:rsidRDefault="002D1E72" w:rsidP="002D1E72">
      <w:pPr>
        <w:pStyle w:val="Default"/>
        <w:spacing w:line="360" w:lineRule="auto"/>
        <w:jc w:val="both"/>
        <w:rPr>
          <w:rFonts w:asciiTheme="minorHAnsi" w:hAnsiTheme="minorHAnsi" w:cs="Arial"/>
          <w:color w:val="auto"/>
          <w:sz w:val="22"/>
          <w:szCs w:val="22"/>
        </w:rPr>
      </w:pPr>
      <w:r w:rsidRPr="002D1E72">
        <w:rPr>
          <w:rFonts w:asciiTheme="minorHAnsi" w:hAnsiTheme="minorHAnsi" w:cs="Arial"/>
          <w:color w:val="auto"/>
          <w:sz w:val="22"/>
          <w:szCs w:val="22"/>
        </w:rPr>
        <w:t xml:space="preserve">Weitere Mitarbeiter/innen: Martin de la Iglesia, Mathias Göbel, Judith Michaelis, Rahel Rami </w:t>
      </w:r>
    </w:p>
    <w:p w:rsidR="00D704C2" w:rsidRPr="002D1E72" w:rsidRDefault="002D1E72" w:rsidP="002D1E72">
      <w:pPr>
        <w:spacing w:after="0" w:line="360" w:lineRule="auto"/>
        <w:jc w:val="both"/>
      </w:pPr>
      <w:r w:rsidRPr="002D1E72">
        <w:rPr>
          <w:rFonts w:cs="Arial"/>
        </w:rPr>
        <w:t>Assoziierte Partnerin und Eigentümerin der Notizbücher: Staatsbibliothek zu Berlin, Preußischer Ku</w:t>
      </w:r>
      <w:r w:rsidRPr="002D1E72">
        <w:rPr>
          <w:rFonts w:cs="Arial"/>
        </w:rPr>
        <w:t>l</w:t>
      </w:r>
      <w:r w:rsidRPr="002D1E72">
        <w:rPr>
          <w:rFonts w:cs="Arial"/>
        </w:rPr>
        <w:t>turbesitz, Handschriftenabteilung</w:t>
      </w:r>
    </w:p>
    <w:sectPr w:rsidR="00D704C2" w:rsidRPr="002D1E72" w:rsidSect="005333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C332B"/>
    <w:multiLevelType w:val="hybridMultilevel"/>
    <w:tmpl w:val="A3F450F4"/>
    <w:lvl w:ilvl="0" w:tplc="AC305A1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154"/>
    <w:rsid w:val="00073E72"/>
    <w:rsid w:val="002D1E72"/>
    <w:rsid w:val="005333DA"/>
    <w:rsid w:val="00677F4F"/>
    <w:rsid w:val="009E4350"/>
    <w:rsid w:val="00D10925"/>
    <w:rsid w:val="00D704C2"/>
    <w:rsid w:val="00F719C6"/>
    <w:rsid w:val="00F91154"/>
    <w:rsid w:val="00F91D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333D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91D71"/>
    <w:pPr>
      <w:ind w:left="720"/>
      <w:contextualSpacing/>
    </w:pPr>
  </w:style>
  <w:style w:type="character" w:styleId="Hyperlink">
    <w:name w:val="Hyperlink"/>
    <w:basedOn w:val="Absatz-Standardschriftart"/>
    <w:uiPriority w:val="99"/>
    <w:unhideWhenUsed/>
    <w:rsid w:val="002D1E72"/>
    <w:rPr>
      <w:color w:val="0000FF" w:themeColor="hyperlink"/>
      <w:u w:val="single"/>
    </w:rPr>
  </w:style>
  <w:style w:type="character" w:customStyle="1" w:styleId="BesuchterInternetlink">
    <w:name w:val="Besuchter Internetlink"/>
    <w:rsid w:val="002D1E72"/>
    <w:rPr>
      <w:color w:val="800000"/>
      <w:u w:val="single"/>
    </w:rPr>
  </w:style>
  <w:style w:type="paragraph" w:customStyle="1" w:styleId="Default">
    <w:name w:val="Default"/>
    <w:rsid w:val="002D1E72"/>
    <w:pPr>
      <w:suppressAutoHyphens/>
      <w:spacing w:after="0" w:line="100" w:lineRule="atLeast"/>
    </w:pPr>
    <w:rPr>
      <w:rFonts w:ascii="Segoe UI" w:eastAsia="DejaVu Sans" w:hAnsi="Segoe UI" w:cs="Segoe UI"/>
      <w:color w:val="000000"/>
      <w:sz w:val="24"/>
      <w:szCs w:val="24"/>
    </w:rPr>
  </w:style>
  <w:style w:type="paragraph" w:styleId="HTMLVorformatiert">
    <w:name w:val="HTML Preformatted"/>
    <w:basedOn w:val="Standard"/>
    <w:link w:val="HTMLVorformatiertZchn"/>
    <w:uiPriority w:val="99"/>
    <w:semiHidden/>
    <w:unhideWhenUsed/>
    <w:rsid w:val="002D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2D1E72"/>
    <w:rPr>
      <w:rFonts w:ascii="Courier New" w:eastAsia="Times New Roman" w:hAnsi="Courier New" w:cs="Courier New"/>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333D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91D71"/>
    <w:pPr>
      <w:ind w:left="720"/>
      <w:contextualSpacing/>
    </w:pPr>
  </w:style>
  <w:style w:type="character" w:styleId="Hyperlink">
    <w:name w:val="Hyperlink"/>
    <w:basedOn w:val="Absatz-Standardschriftart"/>
    <w:uiPriority w:val="99"/>
    <w:unhideWhenUsed/>
    <w:rsid w:val="002D1E72"/>
    <w:rPr>
      <w:color w:val="0000FF" w:themeColor="hyperlink"/>
      <w:u w:val="single"/>
    </w:rPr>
  </w:style>
  <w:style w:type="character" w:customStyle="1" w:styleId="BesuchterInternetlink">
    <w:name w:val="Besuchter Internetlink"/>
    <w:rsid w:val="002D1E72"/>
    <w:rPr>
      <w:color w:val="800000"/>
      <w:u w:val="single"/>
    </w:rPr>
  </w:style>
  <w:style w:type="paragraph" w:customStyle="1" w:styleId="Default">
    <w:name w:val="Default"/>
    <w:rsid w:val="002D1E72"/>
    <w:pPr>
      <w:suppressAutoHyphens/>
      <w:spacing w:after="0" w:line="100" w:lineRule="atLeast"/>
    </w:pPr>
    <w:rPr>
      <w:rFonts w:ascii="Segoe UI" w:eastAsia="DejaVu Sans" w:hAnsi="Segoe UI" w:cs="Segoe UI"/>
      <w:color w:val="000000"/>
      <w:sz w:val="24"/>
      <w:szCs w:val="24"/>
    </w:rPr>
  </w:style>
  <w:style w:type="paragraph" w:styleId="HTMLVorformatiert">
    <w:name w:val="HTML Preformatted"/>
    <w:basedOn w:val="Standard"/>
    <w:link w:val="HTMLVorformatiertZchn"/>
    <w:uiPriority w:val="99"/>
    <w:semiHidden/>
    <w:unhideWhenUsed/>
    <w:rsid w:val="002D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2D1E72"/>
    <w:rPr>
      <w:rFonts w:ascii="Courier New" w:eastAsia="Times New Roman"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41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goettingen.de/de/303691.html" TargetMode="External"/><Relationship Id="rId3" Type="http://schemas.microsoft.com/office/2007/relationships/stylesWithEffects" Target="stylesWithEffects.xml"/><Relationship Id="rId7" Type="http://schemas.openxmlformats.org/officeDocument/2006/relationships/hyperlink" Target="http://www.fontane-notizbuech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briele.Radecke@phil.uni-goettingen.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3627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Radecke</cp:lastModifiedBy>
  <cp:revision>3</cp:revision>
  <cp:lastPrinted>2014-04-18T14:31:00Z</cp:lastPrinted>
  <dcterms:created xsi:type="dcterms:W3CDTF">2014-04-18T14:38:00Z</dcterms:created>
  <dcterms:modified xsi:type="dcterms:W3CDTF">2014-04-21T11:27:00Z</dcterms:modified>
</cp:coreProperties>
</file>