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0A22FF59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CF0B65">
        <w:rPr>
          <w:rFonts w:ascii="Arial" w:eastAsia="Tahoma" w:hAnsi="Arial" w:cs="Arial"/>
          <w:sz w:val="24"/>
          <w:szCs w:val="24"/>
          <w:lang w:val="de-DE"/>
        </w:rPr>
        <w:t>Ju</w:t>
      </w:r>
      <w:r w:rsidR="00E06710">
        <w:rPr>
          <w:rFonts w:ascii="Arial" w:eastAsia="Tahoma" w:hAnsi="Arial" w:cs="Arial"/>
          <w:sz w:val="24"/>
          <w:szCs w:val="24"/>
          <w:lang w:val="de-DE"/>
        </w:rPr>
        <w:t>l</w:t>
      </w:r>
      <w:r w:rsidR="00CF0B65">
        <w:rPr>
          <w:rFonts w:ascii="Arial" w:eastAsia="Tahoma" w:hAnsi="Arial" w:cs="Arial"/>
          <w:sz w:val="24"/>
          <w:szCs w:val="24"/>
          <w:lang w:val="de-DE"/>
        </w:rPr>
        <w:t>i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1848BA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7565E505" w14:textId="55B76FFC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Lientje-Sophie Haake,</w:t>
            </w:r>
          </w:p>
          <w:p w14:paraId="09BD638A" w14:textId="27529589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Habermann</w:t>
            </w:r>
          </w:p>
          <w:p w14:paraId="6CA2366E" w14:textId="71A72578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Maryam Rahimi</w:t>
            </w:r>
          </w:p>
          <w:p w14:paraId="4A9232FF" w14:textId="5ABEB57A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Dr.in Camilla Benedetti</w:t>
            </w:r>
          </w:p>
          <w:p w14:paraId="2BBA02D5" w14:textId="35BD2A22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Eva Held-H</w:t>
            </w:r>
            <w:r>
              <w:rPr>
                <w:rFonts w:ascii="Arial" w:hAnsi="Arial" w:cs="Arial"/>
                <w:sz w:val="24"/>
                <w:szCs w:val="24"/>
              </w:rPr>
              <w:t>oelkerul</w:t>
            </w:r>
          </w:p>
          <w:p w14:paraId="4A018DFD" w14:textId="3078153C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6710">
              <w:rPr>
                <w:rFonts w:ascii="Arial" w:hAnsi="Arial" w:cs="Arial"/>
                <w:sz w:val="24"/>
                <w:szCs w:val="24"/>
                <w:lang w:val="de-DE"/>
              </w:rPr>
              <w:t>Dr. Heiko Henning (FLI)</w:t>
            </w:r>
          </w:p>
          <w:p w14:paraId="3D300BEE" w14:textId="77777777" w:rsidR="00AB5E9A" w:rsidRPr="00E06710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1848BA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lastRenderedPageBreak/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Dr.in Carina Blaschka</w:t>
            </w:r>
          </w:p>
          <w:p w14:paraId="79857C7C" w14:textId="4BF58AF0" w:rsidR="006371B0" w:rsidRPr="009D4F47" w:rsidRDefault="006371B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Carolin Schuon (vorläufig bis November 2026)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1848BA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1848BA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7C074D05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  <w:p w14:paraId="070560AE" w14:textId="1B90D16B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Martin Muus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3CAF7C60" w14:textId="04A17CDC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Michael Adesokan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5E9D4F83" w14:textId="278908C2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Ronja Merschmann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2AABC8BA" w14:textId="58A12036" w:rsidR="00E34DC1" w:rsidRPr="006B4E5B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Luise Knüfing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262F58" w:rsidRPr="00EC3D80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FFB2364" w14:textId="77777777" w:rsidR="00B130E0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  <w:p w14:paraId="0B8CDC0A" w14:textId="55C72699" w:rsidR="00CF0B65" w:rsidRPr="006B4E5B" w:rsidRDefault="00CF0B65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Fabian Rehklau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lastRenderedPageBreak/>
              <w:t>Katharina Stanzel</w:t>
            </w:r>
          </w:p>
        </w:tc>
      </w:tr>
      <w:tr w:rsidR="006414C3" w:rsidRPr="001848BA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1848BA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1C62A15" w14:textId="77777777" w:rsidR="00D97EC8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  <w:p w14:paraId="6E157F26" w14:textId="77777777" w:rsidR="00D67BB1" w:rsidRDefault="00D67B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Stephanie Wolfrum</w:t>
            </w:r>
            <w:r w:rsidR="00AD0E3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AD0E3F" w:rsidRPr="00AD0E3F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13F985A3" w14:textId="77C20E5C" w:rsidR="001848BA" w:rsidRDefault="001848B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848BA">
              <w:rPr>
                <w:rFonts w:ascii="Arial" w:hAnsi="Arial" w:cs="Arial"/>
                <w:sz w:val="24"/>
                <w:szCs w:val="24"/>
                <w:lang w:val="de-DE"/>
              </w:rPr>
              <w:t>Henry Weis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1848BA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6225104C" w14:textId="2BACAED2" w:rsidR="001848BA" w:rsidRPr="006B4E5B" w:rsidRDefault="001848B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848BA">
              <w:rPr>
                <w:rFonts w:ascii="Arial" w:hAnsi="Arial" w:cs="Arial"/>
                <w:sz w:val="24"/>
                <w:szCs w:val="24"/>
                <w:lang w:val="de-DE"/>
              </w:rPr>
              <w:t>Constanze Lüntzel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1848BA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CF0B65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5B4CF8C0" w14:textId="77777777" w:rsid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  <w:p w14:paraId="1D500FFB" w14:textId="47C344DC" w:rsidR="00CF0B65" w:rsidRPr="00CF0B65" w:rsidRDefault="00CF0B65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Elena Velado A</w:t>
            </w:r>
            <w:r>
              <w:rPr>
                <w:rFonts w:ascii="Arial" w:hAnsi="Arial" w:cs="Arial"/>
                <w:sz w:val="24"/>
                <w:szCs w:val="24"/>
              </w:rPr>
              <w:t>lonso</w:t>
            </w:r>
          </w:p>
        </w:tc>
      </w:tr>
      <w:tr w:rsidR="006414C3" w:rsidRPr="001848BA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720C0C55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Martin </w:t>
            </w:r>
            <w:r w:rsidR="00CF0B65">
              <w:rPr>
                <w:rFonts w:ascii="Arial" w:hAnsi="Arial" w:cs="Arial"/>
                <w:sz w:val="24"/>
                <w:szCs w:val="24"/>
                <w:lang w:val="de-DE"/>
              </w:rPr>
              <w:t>Freudiger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2A1988C2" w14:textId="77777777" w:rsidR="00B130E0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  <w:p w14:paraId="1B13876E" w14:textId="2B294649" w:rsidR="00CF0B65" w:rsidRPr="00E03028" w:rsidRDefault="00CF0B6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Antonios Apostolakis </w:t>
            </w:r>
          </w:p>
        </w:tc>
      </w:tr>
      <w:tr w:rsidR="006414C3" w:rsidRPr="001848BA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Dr. Jan Adolph</w:t>
            </w:r>
          </w:p>
          <w:p w14:paraId="0895C1B9" w14:textId="3996C974" w:rsidR="008F44B0" w:rsidRPr="006371B0" w:rsidRDefault="008F44B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Gertrud Ebert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198A2CE4" w14:textId="77777777" w:rsidR="006414C3" w:rsidRPr="006371B0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Andreas Heckmann</w:t>
            </w:r>
          </w:p>
          <w:p w14:paraId="541A135C" w14:textId="77777777" w:rsidR="00F37538" w:rsidRPr="006371B0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73092B3B" w14:textId="77777777" w:rsidR="00A8031C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  <w:p w14:paraId="5CC0D239" w14:textId="6271FD3A" w:rsidR="008F44B0" w:rsidRDefault="008F44B0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Lea Koepchen-Thomä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  <w:r w:rsidRPr="008F44B0">
              <w:rPr>
                <w:lang w:val="de-DE"/>
              </w:rPr>
              <w:t xml:space="preserve"> </w:t>
            </w:r>
          </w:p>
          <w:p w14:paraId="31DD7AA3" w14:textId="24DB62D5" w:rsidR="008F44B0" w:rsidRPr="006B4E5B" w:rsidRDefault="008F44B0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Friederike Möller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1848BA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1848BA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lastRenderedPageBreak/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1848BA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24FBC41C" w14:textId="6FA393CA" w:rsidR="006371B0" w:rsidRPr="00D67BB1" w:rsidRDefault="006371B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67BB1">
              <w:rPr>
                <w:rFonts w:ascii="Arial" w:hAnsi="Arial" w:cs="Arial"/>
                <w:sz w:val="24"/>
                <w:szCs w:val="24"/>
                <w:lang w:val="de-DE"/>
              </w:rPr>
              <w:t>Dr. Eric Ottow (bis November 2026)</w:t>
            </w:r>
          </w:p>
          <w:p w14:paraId="660541B4" w14:textId="77777777" w:rsidR="007029C0" w:rsidRPr="00D67BB1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67BB1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1848BA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1848BA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26BB50ED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Greta </w:t>
            </w:r>
            <w:r w:rsidR="00E06710">
              <w:rPr>
                <w:rFonts w:ascii="Arial" w:hAnsi="Arial" w:cs="Arial"/>
                <w:sz w:val="24"/>
                <w:szCs w:val="24"/>
                <w:lang w:val="de-DE"/>
              </w:rPr>
              <w:t>Berg-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48437914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Alina </w:t>
            </w:r>
            <w:r w:rsidR="00527188">
              <w:rPr>
                <w:rFonts w:ascii="Arial" w:hAnsi="Arial" w:cs="Arial"/>
                <w:sz w:val="24"/>
                <w:szCs w:val="24"/>
                <w:lang w:val="de-DE"/>
              </w:rPr>
              <w:t>Horsch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Pr="00E06710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Justine Quant</w:t>
            </w:r>
          </w:p>
          <w:p w14:paraId="09F2209F" w14:textId="77777777" w:rsidR="00B130E0" w:rsidRPr="00E06710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Kotro</w:t>
            </w:r>
          </w:p>
          <w:p w14:paraId="505B965C" w14:textId="057AC20A" w:rsidR="00CF0B65" w:rsidRPr="00E06710" w:rsidRDefault="00CF0B65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Lea Kisten</w:t>
            </w:r>
          </w:p>
        </w:tc>
      </w:tr>
      <w:tr w:rsidR="00657857" w:rsidRPr="001848BA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4898B0F6" w14:textId="77777777" w:rsidR="005F16B1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  <w:p w14:paraId="15629265" w14:textId="32105DB8" w:rsidR="001754DF" w:rsidRPr="001754DF" w:rsidRDefault="001754D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Sarah Graf (vorläufig bis 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ovember 2026)</w:t>
            </w:r>
          </w:p>
          <w:p w14:paraId="69DBB90B" w14:textId="6BE55B8C" w:rsidR="001754DF" w:rsidRPr="001754DF" w:rsidRDefault="001754D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Giacomo Ferraro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lastRenderedPageBreak/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11B66C28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  <w:p w14:paraId="4CE7CA22" w14:textId="2B1B128E" w:rsidR="00CF0B65" w:rsidRPr="00FB16F3" w:rsidRDefault="00CF0B65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Rica Perkmeyer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1848BA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460073CB" w14:textId="77777777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  <w:p w14:paraId="5D2786AD" w14:textId="52212428" w:rsidR="00CF0B65" w:rsidRDefault="00CF0B65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Benjamin Schröder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1848BA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DF46B6B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</w:t>
            </w:r>
            <w:r w:rsidR="00036848">
              <w:rPr>
                <w:rFonts w:ascii="Arial" w:hAnsi="Arial" w:cs="Arial"/>
                <w:sz w:val="24"/>
                <w:szCs w:val="24"/>
              </w:rPr>
              <w:t>g</w:t>
            </w:r>
            <w:r w:rsidRPr="00AA27A8">
              <w:rPr>
                <w:rFonts w:ascii="Arial" w:hAnsi="Arial" w:cs="Arial"/>
                <w:sz w:val="24"/>
                <w:szCs w:val="24"/>
              </w:rPr>
              <w:t>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1848BA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36848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4852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754DF"/>
    <w:rsid w:val="00182226"/>
    <w:rsid w:val="001848BA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05ED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B7B64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27188"/>
    <w:rsid w:val="00530362"/>
    <w:rsid w:val="00530488"/>
    <w:rsid w:val="00536D34"/>
    <w:rsid w:val="00543F68"/>
    <w:rsid w:val="005466CA"/>
    <w:rsid w:val="00551AAA"/>
    <w:rsid w:val="0055377E"/>
    <w:rsid w:val="0055384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371B0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0173"/>
    <w:rsid w:val="006D5780"/>
    <w:rsid w:val="006E2178"/>
    <w:rsid w:val="006E639D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44B0"/>
    <w:rsid w:val="008F54B1"/>
    <w:rsid w:val="008F7C6E"/>
    <w:rsid w:val="009035C8"/>
    <w:rsid w:val="00906566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87B26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0E3F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A7164"/>
    <w:rsid w:val="00CB018C"/>
    <w:rsid w:val="00CB0721"/>
    <w:rsid w:val="00CC4CF8"/>
    <w:rsid w:val="00CC5DF0"/>
    <w:rsid w:val="00CD5B31"/>
    <w:rsid w:val="00CE01F1"/>
    <w:rsid w:val="00CE428E"/>
    <w:rsid w:val="00CF0B65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67BB1"/>
    <w:rsid w:val="00D84073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06710"/>
    <w:rsid w:val="00E102A7"/>
    <w:rsid w:val="00E259C6"/>
    <w:rsid w:val="00E32266"/>
    <w:rsid w:val="00E34D16"/>
    <w:rsid w:val="00E34DC1"/>
    <w:rsid w:val="00E36A2A"/>
    <w:rsid w:val="00E47612"/>
    <w:rsid w:val="00E51BBC"/>
    <w:rsid w:val="00E5781E"/>
    <w:rsid w:val="00E578F8"/>
    <w:rsid w:val="00E661F5"/>
    <w:rsid w:val="00E71098"/>
    <w:rsid w:val="00E85822"/>
    <w:rsid w:val="00EA190A"/>
    <w:rsid w:val="00EC3D80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1AA2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1724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8</cp:revision>
  <dcterms:created xsi:type="dcterms:W3CDTF">2026-07-09T12:38:00Z</dcterms:created>
  <dcterms:modified xsi:type="dcterms:W3CDTF">2026-07-21T13:49:00Z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